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9C" w:rsidRPr="009C11F9" w:rsidRDefault="00B2589C" w:rsidP="00B2589C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hr-HR"/>
        </w:rPr>
        <w:t>Projekt “E impuls”</w:t>
      </w:r>
    </w:p>
    <w:p w:rsidR="007631FF" w:rsidRPr="009C11F9" w:rsidRDefault="007631FF">
      <w:pPr>
        <w:rPr>
          <w:rFonts w:ascii="Arial" w:hAnsi="Arial" w:cs="Arial"/>
          <w:color w:val="000000" w:themeColor="text1"/>
        </w:rPr>
      </w:pPr>
    </w:p>
    <w:p w:rsidR="00B2589C" w:rsidRPr="009C11F9" w:rsidRDefault="00B2589C" w:rsidP="00B2589C">
      <w:pPr>
        <w:spacing w:after="150" w:line="240" w:lineRule="auto"/>
        <w:outlineLvl w:val="3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 xml:space="preserve">Naziv projekta </w:t>
      </w:r>
    </w:p>
    <w:p w:rsidR="00B2589C" w:rsidRPr="009C11F9" w:rsidRDefault="00B2589C" w:rsidP="0061064E">
      <w:pPr>
        <w:spacing w:after="30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>„</w:t>
      </w:r>
      <w:r w:rsidR="006B12CE"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Digitalni </w:t>
      </w:r>
      <w:r w:rsidR="006B12CE" w:rsidRPr="009C11F9">
        <w:rPr>
          <w:rFonts w:ascii="Arial" w:eastAsia="Fira Sans" w:hAnsi="Arial" w:cs="Arial"/>
          <w:color w:val="000000" w:themeColor="text1"/>
          <w:lang w:eastAsia="hr-HR"/>
        </w:rPr>
        <w:t>ti</w:t>
      </w:r>
      <w:r w:rsidR="006B12CE" w:rsidRPr="009C11F9">
        <w:rPr>
          <w:rFonts w:ascii="Arial" w:eastAsia="Times New Roman" w:hAnsi="Arial" w:cs="Arial"/>
          <w:color w:val="000000" w:themeColor="text1"/>
          <w:lang w:eastAsia="hr-HR"/>
        </w:rPr>
        <w:t>sak za budućnost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“</w:t>
      </w:r>
      <w:r w:rsidR="00F231FE" w:rsidRPr="009C11F9">
        <w:rPr>
          <w:rFonts w:ascii="Arial" w:eastAsia="Times New Roman" w:hAnsi="Arial" w:cs="Arial"/>
          <w:color w:val="000000" w:themeColor="text1"/>
          <w:lang w:eastAsia="hr-HR"/>
        </w:rPr>
        <w:t>;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F231FE" w:rsidRPr="009C11F9">
        <w:rPr>
          <w:rFonts w:ascii="Arial" w:eastAsia="Times New Roman" w:hAnsi="Arial" w:cs="Arial"/>
          <w:color w:val="000000" w:themeColor="text1"/>
          <w:lang w:eastAsia="hr-HR"/>
        </w:rPr>
        <w:t>šifra projekta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KK.03.2.1.06.</w:t>
      </w:r>
      <w:r w:rsidR="006B12CE" w:rsidRPr="009C11F9">
        <w:rPr>
          <w:rFonts w:ascii="Arial" w:eastAsia="Times New Roman" w:hAnsi="Arial" w:cs="Arial"/>
          <w:color w:val="000000" w:themeColor="text1"/>
          <w:lang w:eastAsia="hr-HR"/>
        </w:rPr>
        <w:t>1227</w:t>
      </w:r>
      <w:r w:rsidR="00F231FE"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B12CE" w:rsidRPr="009C11F9" w:rsidRDefault="006B12CE" w:rsidP="006B12CE">
      <w:pPr>
        <w:spacing w:after="30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Tvrtka Digitalni Tisak d.o.o. iz Karlovca osnovana je 2006. godine. Osnovna djelatnost tvrtke je </w:t>
      </w:r>
      <w:proofErr w:type="spellStart"/>
      <w:r w:rsidRPr="009C11F9">
        <w:rPr>
          <w:rFonts w:ascii="Arial" w:eastAsia="Times New Roman" w:hAnsi="Arial" w:cs="Arial"/>
          <w:color w:val="000000" w:themeColor="text1"/>
          <w:lang w:eastAsia="hr-HR"/>
        </w:rPr>
        <w:t>dotisak</w:t>
      </w:r>
      <w:proofErr w:type="spellEnd"/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, odnosno tisak na već gotove proizvode te prodaja promotivnih artikala. Tvrtka posjeduje potrebnu opremu za specijalno tiskanje: strojeve za sitotisak na tekstil, strojeve za digitalni tisak na tekstil, dvobojni tamponski stroj, strojeve za </w:t>
      </w:r>
      <w:proofErr w:type="spellStart"/>
      <w:r w:rsidRPr="009C11F9">
        <w:rPr>
          <w:rFonts w:ascii="Arial" w:eastAsia="Times New Roman" w:hAnsi="Arial" w:cs="Arial"/>
          <w:color w:val="000000" w:themeColor="text1"/>
          <w:lang w:eastAsia="hr-HR"/>
        </w:rPr>
        <w:t>roto</w:t>
      </w:r>
      <w:proofErr w:type="spellEnd"/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tisak te lasersku graverku. Tvrtka je uz osnovnu djelatnost, paralelno razvijala i digitalni tisak velikih i malih formata. Osim tiska na manje formate, razvijena je i ponuda za tisak velikih formata (poput plakata, velikih natpisa i sličnog).</w:t>
      </w:r>
    </w:p>
    <w:p w:rsidR="008D548A" w:rsidRPr="009C11F9" w:rsidRDefault="00B2589C" w:rsidP="000C7FAE">
      <w:pPr>
        <w:spacing w:after="150" w:line="240" w:lineRule="auto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>Kratki opis projekta</w:t>
      </w:r>
    </w:p>
    <w:p w:rsidR="000C7FAE" w:rsidRPr="009C11F9" w:rsidRDefault="000C7FAE" w:rsidP="000C7FAE">
      <w:pPr>
        <w:spacing w:after="30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>Projektne aktivnosti odnos</w:t>
      </w:r>
      <w:r w:rsidR="009E216D" w:rsidRPr="009C11F9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se na:</w:t>
      </w:r>
    </w:p>
    <w:p w:rsidR="00FD06B8" w:rsidRPr="009C11F9" w:rsidRDefault="000C7FAE" w:rsidP="000847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a) </w:t>
      </w:r>
      <w:r w:rsidR="006B12CE" w:rsidRPr="009C11F9">
        <w:rPr>
          <w:rFonts w:ascii="Arial" w:eastAsia="Times New Roman" w:hAnsi="Arial" w:cs="Arial"/>
          <w:color w:val="000000" w:themeColor="text1"/>
          <w:lang w:eastAsia="hr-HR"/>
        </w:rPr>
        <w:t>Nabava automatskog stroja za sitotisak;</w:t>
      </w:r>
    </w:p>
    <w:p w:rsidR="00FD06B8" w:rsidRPr="009C11F9" w:rsidRDefault="00FD06B8" w:rsidP="000847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b) </w:t>
      </w:r>
      <w:r w:rsidR="006B12CE" w:rsidRPr="009C11F9">
        <w:rPr>
          <w:rFonts w:ascii="Arial" w:eastAsia="Times New Roman" w:hAnsi="Arial" w:cs="Arial"/>
          <w:color w:val="000000" w:themeColor="text1"/>
          <w:lang w:eastAsia="hr-HR"/>
        </w:rPr>
        <w:t>Ugradnja, puštanje u rad i obuka zaposlenika za rad na automatskom stroju za sitotisak;</w:t>
      </w:r>
    </w:p>
    <w:p w:rsidR="000C7FAE" w:rsidRDefault="00FD06B8" w:rsidP="0008475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c) </w:t>
      </w:r>
      <w:r w:rsidR="000C7FAE" w:rsidRPr="009C11F9">
        <w:rPr>
          <w:rFonts w:ascii="Arial" w:eastAsia="Times New Roman" w:hAnsi="Arial" w:cs="Arial"/>
          <w:color w:val="000000" w:themeColor="text1"/>
          <w:lang w:eastAsia="hr-HR"/>
        </w:rPr>
        <w:t>Promidžba i vidljivost projekta.</w:t>
      </w:r>
    </w:p>
    <w:p w:rsidR="0008475A" w:rsidRPr="009C11F9" w:rsidRDefault="0008475A" w:rsidP="0008475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61064E" w:rsidRPr="009C11F9" w:rsidRDefault="000C7FAE" w:rsidP="007D2024">
      <w:pPr>
        <w:spacing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Svrha ovog projekta je zadovoljavanje potražnje tržišta </w:t>
      </w:r>
      <w:r w:rsidR="007D2024" w:rsidRPr="009C11F9">
        <w:rPr>
          <w:rFonts w:ascii="Arial" w:eastAsia="Times New Roman" w:hAnsi="Arial" w:cs="Arial"/>
          <w:color w:val="000000" w:themeColor="text1"/>
          <w:lang w:eastAsia="hr-HR"/>
        </w:rPr>
        <w:t>proširenjem proizvodnje u segmentu sitotiska. Naime, na osnovu tržišnog iskustva, te potražnje klijenata za ovakvim uslugama odnosno proizvodima, tvrtka je primijetila kako postoji mogućnost širenja poslovanja u ovom segmentu, što znači i mogućnost povećanja prihoda, ali i dodatnog zapošljavanja. Nabavom automatskog stroja za sitotisak tvrtka bi, uz tisak na promotivni tekstil, bila u mogućnosti pružati usluge tiska većih serija za modnu industriju kao i tisak na radnu odjeću.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B2589C" w:rsidRPr="009C11F9" w:rsidRDefault="00B2589C" w:rsidP="0061064E">
      <w:pPr>
        <w:spacing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 xml:space="preserve">Ciljevi i očekivani rezultati projekta </w:t>
      </w:r>
    </w:p>
    <w:p w:rsidR="006B12CE" w:rsidRPr="009C11F9" w:rsidRDefault="006B12CE" w:rsidP="006B12CE">
      <w:pPr>
        <w:spacing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>Dobivanjem ove potpore planira se realizacija projekta nabavke automatskog stroja za sitotisak radi mogućnosti izrađivanja većih serija tiska za modnu industriju i proizvodnju radne odjeće, kao i instalacija stroja te obrazovanje djelatnika za rad na stroju. Projektom će se također ostvariti povećanje broja zaposlenih za jednu osobu i rast prihoda za 31 posto.</w:t>
      </w:r>
    </w:p>
    <w:p w:rsidR="009C11F9" w:rsidRPr="009C11F9" w:rsidRDefault="009C11F9" w:rsidP="006B12CE">
      <w:pPr>
        <w:spacing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</w:p>
    <w:p w:rsidR="00B2589C" w:rsidRPr="009C11F9" w:rsidRDefault="00B2589C" w:rsidP="006B12CE">
      <w:pPr>
        <w:spacing w:after="150" w:line="240" w:lineRule="auto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>Ukupna vrijednost projekta i iznos koji sufinancira EU (u HRK)</w:t>
      </w:r>
    </w:p>
    <w:p w:rsidR="00B2589C" w:rsidRPr="009C11F9" w:rsidRDefault="00B2589C" w:rsidP="00B2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Ukupna vrijednost projekta iznosi </w:t>
      </w:r>
      <w:r w:rsidR="00C06B0B" w:rsidRPr="009C11F9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9C11F9" w:rsidRPr="009C11F9">
        <w:rPr>
          <w:rFonts w:ascii="Arial" w:eastAsia="Times New Roman" w:hAnsi="Arial" w:cs="Arial"/>
          <w:color w:val="000000" w:themeColor="text1"/>
          <w:lang w:eastAsia="hr-HR"/>
        </w:rPr>
        <w:t>14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C06B0B" w:rsidRPr="009C11F9">
        <w:rPr>
          <w:rFonts w:ascii="Arial" w:eastAsia="Times New Roman" w:hAnsi="Arial" w:cs="Arial"/>
          <w:color w:val="000000" w:themeColor="text1"/>
          <w:lang w:eastAsia="hr-HR"/>
        </w:rPr>
        <w:t>062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C06B0B" w:rsidRPr="009C11F9">
        <w:rPr>
          <w:rFonts w:ascii="Arial" w:eastAsia="Times New Roman" w:hAnsi="Arial" w:cs="Arial"/>
          <w:color w:val="000000" w:themeColor="text1"/>
          <w:lang w:eastAsia="hr-HR"/>
        </w:rPr>
        <w:t>50</w:t>
      </w:r>
      <w:r w:rsidR="00D8579E"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HRK</w:t>
      </w:r>
    </w:p>
    <w:p w:rsidR="009C11F9" w:rsidRPr="009C11F9" w:rsidRDefault="00B2589C" w:rsidP="009C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Udio EU u financiranju projekta iznosi </w:t>
      </w:r>
      <w:r w:rsidR="00C06B0B" w:rsidRPr="009C11F9">
        <w:rPr>
          <w:rFonts w:ascii="Arial" w:eastAsia="Times New Roman" w:hAnsi="Arial" w:cs="Arial"/>
          <w:color w:val="000000" w:themeColor="text1"/>
          <w:lang w:eastAsia="hr-HR"/>
        </w:rPr>
        <w:t>278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C06B0B" w:rsidRPr="009C11F9">
        <w:rPr>
          <w:rFonts w:ascii="Arial" w:eastAsia="Times New Roman" w:hAnsi="Arial" w:cs="Arial"/>
          <w:color w:val="000000" w:themeColor="text1"/>
          <w:lang w:eastAsia="hr-HR"/>
        </w:rPr>
        <w:t>250</w:t>
      </w:r>
      <w:r w:rsidR="00D8579E" w:rsidRPr="009C11F9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00</w:t>
      </w:r>
      <w:r w:rsidR="00D8579E"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 HRK</w:t>
      </w:r>
    </w:p>
    <w:p w:rsidR="009C11F9" w:rsidRPr="009C11F9" w:rsidRDefault="00B2589C" w:rsidP="00B2589C">
      <w:pPr>
        <w:spacing w:after="150" w:line="240" w:lineRule="auto"/>
        <w:outlineLvl w:val="3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>Razdoblje provedbe projekta</w:t>
      </w:r>
      <w:bookmarkStart w:id="0" w:name="_GoBack"/>
      <w:bookmarkEnd w:id="0"/>
    </w:p>
    <w:p w:rsidR="009C11F9" w:rsidRPr="009C11F9" w:rsidRDefault="00C06B0B" w:rsidP="00B2589C">
      <w:pPr>
        <w:spacing w:after="150" w:line="240" w:lineRule="auto"/>
        <w:outlineLvl w:val="3"/>
        <w:rPr>
          <w:rFonts w:ascii="Arial" w:eastAsia="Times New Roman" w:hAnsi="Arial" w:cs="Arial"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color w:val="000000" w:themeColor="text1"/>
          <w:lang w:eastAsia="hr-HR"/>
        </w:rPr>
        <w:t>18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01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>.201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8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 xml:space="preserve">. - 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30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04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>.201</w:t>
      </w:r>
      <w:r w:rsidRPr="009C11F9">
        <w:rPr>
          <w:rFonts w:ascii="Arial" w:eastAsia="Times New Roman" w:hAnsi="Arial" w:cs="Arial"/>
          <w:color w:val="000000" w:themeColor="text1"/>
          <w:lang w:eastAsia="hr-HR"/>
        </w:rPr>
        <w:t>9</w:t>
      </w:r>
      <w:r w:rsidR="00B2589C" w:rsidRPr="009C11F9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B2589C" w:rsidRPr="009C11F9" w:rsidRDefault="00B2589C" w:rsidP="00B2589C">
      <w:pPr>
        <w:spacing w:after="150" w:line="240" w:lineRule="auto"/>
        <w:outlineLvl w:val="3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>Kontakt za više informacija</w:t>
      </w:r>
    </w:p>
    <w:p w:rsidR="0080236C" w:rsidRPr="009C11F9" w:rsidRDefault="00B2589C" w:rsidP="00B2589C">
      <w:pPr>
        <w:spacing w:after="300" w:line="240" w:lineRule="auto"/>
        <w:rPr>
          <w:rFonts w:ascii="Arial" w:eastAsia="Times New Roman" w:hAnsi="Arial" w:cs="Arial"/>
          <w:color w:val="666666"/>
          <w:lang w:eastAsia="hr-HR"/>
        </w:rPr>
      </w:pPr>
      <w:r w:rsidRPr="009C11F9">
        <w:rPr>
          <w:rFonts w:ascii="Arial" w:eastAsia="Times New Roman" w:hAnsi="Arial" w:cs="Arial"/>
          <w:color w:val="666666"/>
          <w:lang w:eastAsia="hr-HR"/>
        </w:rPr>
        <w:t xml:space="preserve">e-mail: </w:t>
      </w:r>
      <w:r w:rsidR="00C06B0B" w:rsidRPr="009C11F9">
        <w:rPr>
          <w:rStyle w:val="Hiperveza"/>
          <w:rFonts w:ascii="Arial" w:eastAsia="Times New Roman" w:hAnsi="Arial" w:cs="Arial"/>
          <w:lang w:eastAsia="hr-HR"/>
        </w:rPr>
        <w:t>marijana@digitalni-</w:t>
      </w:r>
      <w:r w:rsidR="00C06B0B" w:rsidRPr="009C11F9">
        <w:rPr>
          <w:rStyle w:val="Hiperveza"/>
          <w:rFonts w:ascii="Arial" w:eastAsia="Fira Sans" w:hAnsi="Arial" w:cs="Arial"/>
          <w:lang w:eastAsia="hr-HR"/>
        </w:rPr>
        <w:t>ti</w:t>
      </w:r>
      <w:r w:rsidR="00C06B0B" w:rsidRPr="009C11F9">
        <w:rPr>
          <w:rStyle w:val="Hiperveza"/>
          <w:rFonts w:ascii="Arial" w:eastAsia="Times New Roman" w:hAnsi="Arial" w:cs="Arial"/>
          <w:lang w:eastAsia="hr-HR"/>
        </w:rPr>
        <w:t>sak.hr</w:t>
      </w:r>
    </w:p>
    <w:p w:rsidR="00B2589C" w:rsidRPr="009C11F9" w:rsidRDefault="00B2589C" w:rsidP="00B2589C">
      <w:pPr>
        <w:spacing w:after="300" w:line="240" w:lineRule="auto"/>
        <w:rPr>
          <w:rFonts w:ascii="Arial" w:eastAsia="Times New Roman" w:hAnsi="Arial" w:cs="Arial"/>
          <w:color w:val="666666"/>
          <w:lang w:eastAsia="hr-HR"/>
        </w:rPr>
      </w:pPr>
      <w:r w:rsidRPr="009C11F9">
        <w:rPr>
          <w:rFonts w:ascii="Arial" w:eastAsia="Times New Roman" w:hAnsi="Arial" w:cs="Arial"/>
          <w:b/>
          <w:color w:val="000000" w:themeColor="text1"/>
          <w:lang w:eastAsia="hr-HR"/>
        </w:rPr>
        <w:t>Linkovi</w:t>
      </w:r>
    </w:p>
    <w:p w:rsidR="00B2589C" w:rsidRPr="009C11F9" w:rsidRDefault="0008475A" w:rsidP="00B2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hr-HR"/>
        </w:rPr>
      </w:pPr>
      <w:hyperlink r:id="rId5" w:tgtFrame="_blank" w:history="1">
        <w:r w:rsidR="00B2589C" w:rsidRPr="009C11F9">
          <w:rPr>
            <w:rFonts w:ascii="Arial" w:eastAsia="Times New Roman" w:hAnsi="Arial" w:cs="Arial"/>
            <w:color w:val="428BCA"/>
            <w:u w:val="single"/>
            <w:lang w:eastAsia="hr-HR"/>
          </w:rPr>
          <w:t>www.strukturnifondovi.hr</w:t>
        </w:r>
      </w:hyperlink>
    </w:p>
    <w:p w:rsidR="00B2589C" w:rsidRPr="009C11F9" w:rsidRDefault="0008475A" w:rsidP="00696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hr-HR"/>
        </w:rPr>
      </w:pPr>
      <w:hyperlink r:id="rId6" w:history="1">
        <w:r w:rsidR="00696507" w:rsidRPr="009C11F9">
          <w:rPr>
            <w:rStyle w:val="Hiperveza"/>
            <w:rFonts w:ascii="Arial" w:eastAsia="Times New Roman" w:hAnsi="Arial" w:cs="Arial"/>
            <w:lang w:eastAsia="hr-HR"/>
          </w:rPr>
          <w:t>https://strukturnifondovi.hr/eu-fondovi/esi-fondovi-2014-2020/op-konkurentnost-i-kohezija/</w:t>
        </w:r>
      </w:hyperlink>
      <w:r w:rsidR="00696507" w:rsidRPr="009C11F9">
        <w:rPr>
          <w:rFonts w:ascii="Arial" w:eastAsia="Times New Roman" w:hAnsi="Arial" w:cs="Arial"/>
          <w:color w:val="666666"/>
          <w:lang w:eastAsia="hr-HR"/>
        </w:rPr>
        <w:t xml:space="preserve"> </w:t>
      </w:r>
    </w:p>
    <w:sectPr w:rsidR="00B2589C" w:rsidRPr="009C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335"/>
    <w:multiLevelType w:val="multilevel"/>
    <w:tmpl w:val="81D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D49A8"/>
    <w:multiLevelType w:val="multilevel"/>
    <w:tmpl w:val="E9D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9C"/>
    <w:rsid w:val="0008475A"/>
    <w:rsid w:val="000C7FAE"/>
    <w:rsid w:val="001648EC"/>
    <w:rsid w:val="00346C84"/>
    <w:rsid w:val="00540896"/>
    <w:rsid w:val="0061064E"/>
    <w:rsid w:val="00696507"/>
    <w:rsid w:val="006B12CE"/>
    <w:rsid w:val="007631FF"/>
    <w:rsid w:val="007D2024"/>
    <w:rsid w:val="0080236C"/>
    <w:rsid w:val="008D548A"/>
    <w:rsid w:val="0098332E"/>
    <w:rsid w:val="009C11F9"/>
    <w:rsid w:val="009E216D"/>
    <w:rsid w:val="00B246CB"/>
    <w:rsid w:val="00B2589C"/>
    <w:rsid w:val="00C06B0B"/>
    <w:rsid w:val="00D62456"/>
    <w:rsid w:val="00D8579E"/>
    <w:rsid w:val="00DE1800"/>
    <w:rsid w:val="00F231FE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8595"/>
  <w15:chartTrackingRefBased/>
  <w15:docId w15:val="{8B7D6499-E145-4CE6-BF0B-7B5AD35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589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579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023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D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8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ukturnifondovi.hr/eu-fondovi/esi-fondovi-2014-2020/op-konkurentnost-i-kohezija/" TargetMode="External"/><Relationship Id="rId5" Type="http://schemas.openxmlformats.org/officeDocument/2006/relationships/hyperlink" Target="http://www.strukturnifondov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Petrović</dc:creator>
  <cp:keywords/>
  <dc:description/>
  <cp:lastModifiedBy>Korisnik</cp:lastModifiedBy>
  <cp:revision>5</cp:revision>
  <dcterms:created xsi:type="dcterms:W3CDTF">2018-09-25T13:55:00Z</dcterms:created>
  <dcterms:modified xsi:type="dcterms:W3CDTF">2019-04-30T07:32:00Z</dcterms:modified>
</cp:coreProperties>
</file>